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深圳市儿童医院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18450"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1773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62.3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215</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457"/>
        <w:gridCol w:w="1362"/>
        <w:gridCol w:w="246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17.86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15.79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沙门菌鼠伤寒血清型</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沙门菌属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睾丸酮丛毛单胞菌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2844</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表3.1773株呼吸道标本分离菌主要菌种分布（%）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盲肠肠球菌(Enterococcus cecorum)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皮氏罗尔斯顿菌(Pseudomonas pickettii)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表4.243株尿道标本分离菌主要菌种分布（%）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盲肠肠球菌(Enterococcus cecorum)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变形杆菌属(Proteus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醋酸钙不动杆菌(Acinetobacter calcoaceticus)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表5.190株血液标本分离菌主要菌种分布（%）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产碱假单胞菌(Pseudomonas alcaligenes)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耳葡萄球菌(Staphylococcus auricularis)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表6.10株脑脊液标本分离菌主要菌种分布（%）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表7.220株伤口脓液标本分离菌主要菌种分布（%）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睾丸酮丛毛单胞菌(Comamonas testosteroni)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气单胞菌属(Aeromonas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表8.19株胸水标本分离菌主要菌种分布（%）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盲肠肠球菌(Enterococcus cecorum)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MRSA(n=57)</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MSSA(n=176)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MRCNS(n=74)</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MSCNS(n=30)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64.9</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屎肠球菌(n=168)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粪肠球菌(n=325)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448</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448</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98.4</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448</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96.4</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大肠埃希菌(n=4202)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肺炎克雷伯菌(n=836)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奇异变形杆菌(n=183)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阴沟肠杆菌(n=161)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黏质沙雷菌(n=50)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铜绿假单胞菌(n=1017)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鲍曼不动杆菌(n=217)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嗜麦芽窄食单胞菌(n=187)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洋葱伯克霍尔德菌(n=174)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200"/>
        <w:gridCol w:w="200"/>
        <w:gridCol w:w="200"/>
        <w:gridCol w:w="200"/>
        <w:gridCol w:w="2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合计(n=626)</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儿童(n=626)</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626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39.5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60.5</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626</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39.5</w:t>
            </w:r>
          </w:p>
        </w:tc>
        <w:tc>
          <w:tcPr>
            <w:tcW w:w="400" w:type="dxa"/>
            <w:gridSpan w:val="2"/>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60.5</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621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62.8</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30.9</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621</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62.8</w:t>
            </w:r>
          </w:p>
        </w:tc>
        <w:tc>
          <w:tcPr>
            <w:tcW w:w="400" w:type="dxa"/>
            <w:gridSpan w:val="2"/>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30.9</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