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2022</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上海市胸科医院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557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78.1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0.3</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表2.2022年主要临床主要分离菌种分布（前20位）（%）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989"/>
        <w:gridCol w:w="817"/>
        <w:gridCol w:w="148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毗邻颗粒链菌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毗邻颗粒链菌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博兹曼荧光杆菌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博兹曼荧光杆菌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A群β-溶血链球菌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 xml:space="preserve">Salmonella Group D </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 xml:space="preserve">Salmonella Group E </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 xml:space="preserve">Salmonella Group G </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军团菌属</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 xml:space="preserve">Salmonella Group G1 </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 xml:space="preserve">Salmonella Group G2 </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 xml:space="preserve">霍氏鲍特菌 </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CDC NO-2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哈夫尼亚菌属</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 xml:space="preserve">Salmonella Group C </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 xml:space="preserve">Salmonella Group B </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Salmonella sp., unnamed</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未命名沙门菌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变形斑沙雷菌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 xml:space="preserve">Serratia proteamaculans ss. proteamaculans </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表3.557株呼吸道标本分离菌主要菌种分布（%）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皮埃肖无色杆菌(Alcaligenes piechaudii)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伯克霍尔德菌属(Burkholderia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表4.8株尿道标本分离菌主要菌种分布（%）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豚鼠气单胞菌(Aeromonas caviae)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表5.32株血液标本分离菌主要菌种分布（%）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泛菌属(Pantoea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戈登链球菌(Streptococcus gordonii)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克雷伯菌属(Klebsiella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成团泛菌(Enterobacter agglomerans)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铅黄肠球菌(Enterococcus casseliflavus)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rPr>
          <w:rFonts w:ascii="宋体" w:eastAsia="宋体"/>
          <w:color w:val="231F20"/>
          <w:sz w:val="21"/>
          <w:szCs w:val="21"/>
        </w:rPr>
      </w:pPr>
      <w:bookmarkStart w:id="8" w:name="data_table_06"/>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表6.11株伤口脓液标本分离菌主要菌种分布（%）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解鸟氨酸拉乌尔菌(Raoultella ornitholytica)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克雷伯菌属(Klebsiella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表7.102株胸水标本分离菌主要菌种分布（%）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星座链球菌星座亚种(Streptococcus constellatus)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副流感嗜血杆菌(Haemophilus parainfluenzae)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皮埃肖无色杆菌(Alcaligenes piechaudii)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化脓性链球菌(Streptococcus pyogenes)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科氏葡萄球菌(Staphylococcus cohnii)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1" w:name="data_table_09"/>
      <w:r>
        <w:rPr>
          <w:rFonts w:ascii="宋体" w:eastAsia="宋体"/>
          <w:color w:val="231F20"/>
          <w:sz w:val="21"/>
          <w:szCs w:val="21"/>
        </w:rPr>
        <w:t>表8.1株腹水标本分离菌主要菌种分布（%）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表9.金黄色葡萄球菌对抗菌药物的耐药率和敏感率（%）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MRSA(n=13)</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MSSA(n=27)</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76.9</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53.8</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表10.凝固酶阴性葡萄球菌对抗菌药物的耐药率和敏感率（%）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MRCNS(n=29)</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MSCNS(n=9)</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79.3</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82.8</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表11.屎肠球菌和粪肠球菌对抗菌药物的耐药率和敏感率（%）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屎肠球菌(n=0)</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表12.患者中非脑膜炎肺炎链球菌对抗菌药物的耐药率和敏感率（%）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表13.大肠埃希菌和肺炎克雷伯菌对抗菌药物的耐药率和敏感率（%）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大肠埃希菌(n=268)</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77.4</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47.4</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表14.奇异变形杆菌和阴沟肠杆菌对抗菌药物的耐药率和敏感率（%）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表15.黏质沙雷菌和弗劳地柠檬酸杆菌对抗菌药物的耐药率和敏感率（%）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表16.铜绿假单胞菌和鲍曼不动杆菌对抗菌药物的耐药率和敏感率（%）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表17.嗜麦芽窄食单胞菌和洋葱伯克霍尔德菌对抗菌药物的耐药率和敏感率（%）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洋葱伯克霍尔德菌(n=3)</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氯霉素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jc w:val="left"/>
        <w:rPr>
          <w:rFonts w:ascii="宋体" w:eastAsia="宋体" w:hAnsi="宋体" w:cs="宋体" w:hint="eastAsia"/>
        </w:rPr>
      </w:pPr>
      <w:bookmarkStart w:id="21" w:name="data_table_19"/>
      <w:r>
        <w:rPr>
          <w:rFonts w:ascii="宋体" w:eastAsia="宋体" w:hAnsi="宋体" w:cs="宋体" w:hint="eastAsia"/>
        </w:rPr>
        <w:t>表18.流感嗜血杆菌对抗菌药物的耐药率和敏感率（%）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400"/>
        <w:gridCol w:w="400"/>
        <w:gridCol w:w="400"/>
        <w:gridCol w:w="2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trHeight w:val="400"/>
          <w:jc w:val="center"/>
        </w:trPr>
        <w:tc>
          <w:tcPr>
            <w:tcW w:w="1000" w:type="dxa"/>
            <w:vMerge w:val="restart"/>
            <w:tcBorders>
              <w:top w:val="single" w:sz="8" w:space="0" w:color="808080"/>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合计(n=5)</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成人(n=4)</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儿童(n=1)</w:t>
            </w:r>
          </w:p>
        </w:tc>
      </w:tr>
      <w:tr>
        <w:tblPrEx>
          <w:tblW w:w="5000" w:type="pct"/>
          <w:jc w:val="center"/>
          <w:tblCellMar>
            <w:left w:w="108" w:type="dxa"/>
            <w:right w:w="108" w:type="dxa"/>
          </w:tblCellMar>
        </w:tblPrEx>
        <w:trPr>
          <w:gridAfter w:val="1"/>
          <w:trHeight w:val="400"/>
          <w:jc w:val="center"/>
        </w:trPr>
        <w:tc>
          <w:tcPr>
            <w:tcW w:w="1000" w:type="dxa"/>
            <w:vMerge/>
            <w:tcBorders>
              <w:top w:val="single" w:sz="8" w:space="0" w:color="808080"/>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gridAfter w:val="1"/>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氨苄西林/舒巴坦</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25.0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75</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头孢呋辛</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pPr>
              <w:jc w:val="left"/>
              <w:rPr>
                <w:rFonts w:ascii="宋体" w:eastAsia="宋体" w:hAnsi="宋体" w:cs="宋体" w:hint="eastAsia"/>
                <w:sz w:val="20"/>
              </w:rPr>
            </w:pPr>
          </w:p>
        </w:tc>
      </w:tr>
      <w:tr>
        <w:tblPrEx>
          <w:tblW w:w="5000" w:type="pct"/>
          <w:jc w:val="center"/>
          <w:tblCellMar>
            <w:left w:w="108" w:type="dxa"/>
            <w:right w:w="108" w:type="dxa"/>
          </w:tblCellMar>
        </w:tblPrEx>
        <w:trPr>
          <w:gridAfter w:val="1"/>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头孢曲松</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80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25.0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75</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r>
      <w:tr>
        <w:tblPrEx>
          <w:tblW w:w="5000" w:type="pct"/>
          <w:jc w:val="center"/>
          <w:tblCellMar>
            <w:left w:w="108" w:type="dxa"/>
            <w:right w:w="108" w:type="dxa"/>
          </w:tblCellMar>
        </w:tblPrEx>
        <w:trPr>
          <w:gridAfter w:val="1"/>
          <w:trHeight w:val="400"/>
          <w:jc w:val="center"/>
        </w:trPr>
        <w:tc>
          <w:tcPr>
            <w:tcW w:w="1000" w:type="dxa"/>
            <w:tcBorders>
              <w:top w:val="nil"/>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氯霉素</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5</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80</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4</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75</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r>
    </w:tbl>
    <w:p>
      <w:pPr>
        <w:jc w:val="right"/>
        <w:rPr>
          <w:rFonts w:ascii="宋体" w:eastAsia="宋体" w:hAnsi="宋体" w:cs="宋体" w:hint="eastAsia"/>
          <w:sz w:val="20"/>
        </w:rPr>
      </w:pPr>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