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台州市立医院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1296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641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167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表3.1296株呼吸道标本分离菌主要菌种分布（%）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黄杆菌属(Flavobacterium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表4.641株尿道标本分离菌主要菌种分布（%）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摩根摩根菌塞氏亚种(Morganella morganii ss. sibonii)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克雷伯菌属(Klebsiella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表5.522株血液标本分离菌主要菌种分布（%）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表6.7株脑脊液标本分离菌主要菌种分布（%）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表7.511株伤口脓液标本分离菌主要菌种分布（%）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摩根摩根菌塞氏亚种(Morganella morganii ss. sibonii)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棒杆菌属(Corynebacterium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表8.15株腹水标本分离菌主要菌种分布（%）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路邓葡萄球菌(Staphylococcus lugdunensis)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