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2023</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杭州市西溪医院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1531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33.2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970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609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363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344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752</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16.3</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表2.2023年主要临床主要分离菌种分布（前20位）（%）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665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16.92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628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15.98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6.64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256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6.51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4.88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4.60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3.82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3.15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2.93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2.90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2.59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2.31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2.06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42</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1.07</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表3.1531株呼吸道标本分离菌主要菌种分布（%）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伯克霍尔德菌属(Burkholderia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CDC Enteric Group 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表4.970株尿道标本分离菌主要菌种分布（%）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淋病奈瑟菌(Neisseria gonorrhoeae)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表5.609株血液标本分离菌主要菌种分布（%）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沙门菌都柏林血清型(Salmonella Dublin)</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棒杆菌属(Corynebacterium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山羊葡萄球菌(Staphylococcus caprae)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8" w:name="data_table_06"/>
      <w:r>
        <w:rPr>
          <w:rFonts w:ascii="宋体" w:eastAsia="宋体"/>
          <w:color w:val="231F20"/>
          <w:sz w:val="21"/>
          <w:szCs w:val="21"/>
        </w:rPr>
        <w:t>表6.24株脑脊液标本分离菌主要菌种分布（%）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棒杆菌属(Corynebacterium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产单核细胞李斯特菌(Listeria monocytogenes)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bl>
    <w:p>
      <w:pPr>
        <w:spacing w:before="57"/>
        <w:jc w:val="left"/>
        <w:rPr>
          <w:rFonts w:ascii="宋体" w:eastAsia="宋体"/>
          <w:color w:val="231F20"/>
          <w:sz w:val="20"/>
          <w:szCs w:val="21"/>
        </w:rPr>
      </w:pPr>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表7.363株伤口脓液标本分离菌主要菌种分布（%）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棒杆菌属(Corynebacterium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睾丸酮丛毛单胞菌(Comamonas testosteroni)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Streptococcus, microaerophilic</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表8.48株胸水标本分离菌主要菌种分布（%）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CDC Coryneform Group JK</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巴斯德葡萄球菌(Staphylococcus pasteuri)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沙门菌都柏林血清型(Salmonella Dublin)</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星座链球菌星座亚种(Streptococcus constellatus)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1" w:name="data_table_09"/>
      <w:r>
        <w:rPr>
          <w:rFonts w:ascii="宋体" w:eastAsia="宋体"/>
          <w:color w:val="231F20"/>
          <w:sz w:val="21"/>
          <w:szCs w:val="21"/>
        </w:rPr>
        <w:t>表9.192株腹水标本分离菌主要菌种分布（%）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藤黄微球菌(Micrococcus luteus)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松鼠葡萄球菌(Staphylococcus sciuri)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科氏葡萄球菌(Staphylococcus cohnii)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纹带棒杆菌(Corynebacterium striatum)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CDC Enteric Group 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嵴链球菌(Streptococcus crista)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MRSA(n=0)</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MSSA(n=256)</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48.4</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rPr>
          <w:rFonts w:ascii="宋体" w:eastAsia="宋体"/>
          <w:color w:val="231F20"/>
          <w:sz w:val="21"/>
          <w:szCs w:val="21"/>
        </w:rPr>
      </w:pPr>
      <w:bookmarkStart w:id="13" w:name="data_table_11"/>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表11.屎肠球菌和粪肠球菌对抗菌药物的耐药率和敏感率（%）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屎肠球菌(n=181)</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粪肠球菌(n=124)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表12.患者中非脑膜炎肺炎链球菌对抗菌药物的耐药率和敏感率（%）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88.9</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表13.大肠埃希菌和肺炎克雷伯菌对抗菌药物的耐药率和敏感率（%）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大肠埃希菌(n=6039)</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肺炎克雷伯菌(n=628)</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20.1</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表14.奇异变形杆菌和阴沟肠杆菌对抗菌药物的耐药率和敏感率（%）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奇异变形杆菌(n=81)</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阴沟肠杆菌(n=91)</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表15.黏质沙雷菌和弗劳地柠檬酸杆菌对抗菌药物的耐药率和敏感率（%）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黏质沙雷菌(n=51)</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弗劳地柠檬酸杆菌(n=30)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表16.铜绿假单胞菌和鲍曼不动杆菌对抗菌药物的耐药率和敏感率（%）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铜绿假单胞菌(n=192)</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鲍曼不动杆菌(n=261)</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表17.嗜麦芽窄食单胞菌和洋葱伯克霍尔德菌对抗菌药物的耐药率和敏感率（%）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嗜麦芽窄食单胞菌(n=150)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氯霉素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jc w:val="left"/>
        <w:rPr>
          <w:rFonts w:ascii="宋体" w:eastAsia="宋体" w:hAnsi="宋体" w:cs="宋体" w:hint="eastAsia"/>
        </w:rPr>
      </w:pPr>
      <w:bookmarkStart w:id="21" w:name="data_table_19"/>
      <w:r>
        <w:rPr>
          <w:rFonts w:ascii="宋体" w:eastAsia="宋体" w:hAnsi="宋体" w:cs="宋体" w:hint="eastAsia"/>
        </w:rPr>
        <w:t>表18.流感嗜血杆菌对抗菌药物的耐药率和敏感率（%）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000" w:type="dxa"/>
            <w:vMerge w:val="restart"/>
            <w:tcBorders>
              <w:top w:val="single" w:sz="8" w:space="0" w:color="808080"/>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合计(n=58)</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成人(n=57)</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儿童(n=1)</w:t>
            </w:r>
          </w:p>
        </w:tc>
      </w:tr>
      <w:tr>
        <w:tblPrEx>
          <w:tblW w:w="5000" w:type="pct"/>
          <w:jc w:val="center"/>
          <w:tblCellMar>
            <w:left w:w="108" w:type="dxa"/>
            <w:right w:w="108" w:type="dxa"/>
          </w:tblCellMar>
        </w:tblPrEx>
        <w:trPr>
          <w:trHeight w:val="400"/>
          <w:jc w:val="center"/>
        </w:trPr>
        <w:tc>
          <w:tcPr>
            <w:tcW w:w="1000" w:type="dxa"/>
            <w:vMerge/>
            <w:tcBorders>
              <w:top w:val="single" w:sz="8" w:space="0" w:color="808080"/>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氨苄西林/舒巴坦</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58</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15.5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84.5</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57</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15.8</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84.2</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r>
      <w:tr>
        <w:tblPrEx>
          <w:tblW w:w="5000" w:type="pct"/>
          <w:jc w:val="center"/>
          <w:tblCellMar>
            <w:left w:w="108" w:type="dxa"/>
            <w:right w:w="108" w:type="dxa"/>
          </w:tblCellMar>
        </w:tblPrEx>
        <w:trPr>
          <w:trHeight w:val="400"/>
          <w:jc w:val="center"/>
        </w:trPr>
        <w:tc>
          <w:tcPr>
            <w:tcW w:w="1000" w:type="dxa"/>
            <w:tcBorders>
              <w:top w:val="nil"/>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头孢呋辛</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57</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12.3</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82.5</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56</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12.5</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82.1</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r>
    </w:tbl>
    <w:p>
      <w:pPr>
        <w:jc w:val="right"/>
        <w:rPr>
          <w:rFonts w:ascii="宋体" w:eastAsia="宋体" w:hAnsi="宋体" w:cs="宋体" w:hint="eastAsia"/>
          <w:sz w:val="20"/>
        </w:rPr>
      </w:pPr>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