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复旦大学附属妇产科医院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38152"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1083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72.5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469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31.39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419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28.05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12.12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8.50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5.42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3.95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0.33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解没食子酸链球菌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鹑鸡肠球菌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表3.10株呼吸道标本分离菌主要菌种分布（%）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表4.172株尿道标本分离菌主要菌种分布（%）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Acinetobacter calcoaceticus var. lwoffii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表5.36株血液标本分离菌主要菌种分布（%）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产单核细胞李斯特菌(Listeria monocytogenes)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rPr>
          <w:rFonts w:ascii="宋体" w:eastAsia="宋体"/>
          <w:color w:val="231F20"/>
          <w:sz w:val="21"/>
          <w:szCs w:val="21"/>
        </w:rPr>
      </w:pPr>
      <w:bookmarkStart w:id="7" w:name="data_table_06"/>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表6.166株伤口脓液标本分离菌主要菌种分布（%）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鹑鸡肠球菌(Enterococcus gallinarum)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阪崎肠杆菌(Enterobacter sakazakii)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彭氏变形杆菌(Proteus penneri)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rPr>
          <w:rFonts w:ascii="宋体" w:eastAsia="宋体"/>
          <w:color w:val="231F20"/>
          <w:sz w:val="21"/>
          <w:szCs w:val="21"/>
        </w:rPr>
      </w:pPr>
      <w:bookmarkStart w:id="9" w:name="data_table_08"/>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表7.19株腹水标本分离菌主要菌种分布（%）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表8.金黄色葡萄球菌对抗菌药物的耐药率和敏感率（%）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MRSA(n=35)</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MSSA(n=92)</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58.2</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表9.凝固酶阴性葡萄球菌对抗菌药物的耐药率和敏感率（%）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MRCNS(n=5)</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MSCNS(n=8)</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表10.屎肠球菌和粪肠球菌对抗菌药物的耐药率和敏感率（%）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屎肠球菌(n=21)</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粪肠球菌(n=419)</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61.7</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表11.大肠埃希菌和肺炎克雷伯菌对抗菌药物的耐药率和敏感率（%）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大肠埃希菌(n=7213)</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肺炎克雷伯菌(n=81)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表12.奇异变形杆菌和阴沟肠杆菌对抗菌药物的耐药率和敏感率（%）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奇异变形杆菌(n=59)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阴沟肠杆菌(n=22)</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27.1</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表13.黏质沙雷菌和弗劳地柠檬酸杆菌对抗菌药物的耐药率和敏感率（%）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黏质沙雷菌(n=5)</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弗劳地柠檬酸杆菌(n=6)</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表14.铜绿假单胞菌和鲍曼不动杆菌对抗菌药物的耐药率和敏感率（%）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铜绿假单胞菌(n=25)</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鲍曼不动杆菌(n=3)</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表15.嗜麦芽窄食单胞菌和洋葱伯克霍尔德菌对抗菌药物的耐药率和敏感率（%）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洋葱伯克霍尔德菌(n=3)</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jc w:val="left"/>
        <w:rPr>
          <w:rFonts w:ascii="宋体" w:eastAsia="宋体" w:hAnsi="宋体" w:cs="宋体" w:hint="eastAsia"/>
        </w:rPr>
      </w:pPr>
      <w:bookmarkStart w:id="20" w:name="data_table_19"/>
      <w:r>
        <w:rPr>
          <w:rFonts w:ascii="宋体" w:eastAsia="宋体" w:hAnsi="宋体" w:cs="宋体" w:hint="eastAsia"/>
        </w:rPr>
        <w:t>表16.流感嗜血杆菌对抗菌药物的耐药率和敏感率（%）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400"/>
        <w:gridCol w:w="400"/>
        <w:gridCol w:w="400"/>
        <w:gridCol w:w="200"/>
        <w:gridCol w:w="400"/>
        <w:gridCol w:w="400"/>
        <w:gridCol w:w="400"/>
        <w:gridCol w:w="200"/>
        <w:gridCol w:w="400"/>
        <w:gridCol w:w="200"/>
        <w:gridCol w:w="200"/>
        <w:gridCol w:w="200"/>
        <w:gridCol w:w="200"/>
        <w:gridCol w:w="400"/>
        <w:gridCol w:w="2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trHeight w:val="400"/>
          <w:jc w:val="center"/>
        </w:trPr>
        <w:tc>
          <w:tcPr>
            <w:tcW w:w="1000" w:type="dxa"/>
            <w:vMerge w:val="restart"/>
            <w:tcBorders>
              <w:top w:val="single" w:sz="8" w:space="0" w:color="808080"/>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抗菌药物</w:t>
            </w: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合计(n=2)</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成人(n=2)</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5"/>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儿童(n=0)</w:t>
            </w:r>
          </w:p>
        </w:tc>
      </w:tr>
      <w:tr>
        <w:tblPrEx>
          <w:tblW w:w="5000" w:type="pct"/>
          <w:jc w:val="center"/>
          <w:tblCellMar>
            <w:left w:w="108" w:type="dxa"/>
            <w:right w:w="108" w:type="dxa"/>
          </w:tblCellMar>
        </w:tblPrEx>
        <w:trPr>
          <w:gridAfter w:val="2"/>
          <w:trHeight w:val="400"/>
          <w:jc w:val="center"/>
        </w:trPr>
        <w:tc>
          <w:tcPr>
            <w:tcW w:w="1000" w:type="dxa"/>
            <w:vMerge/>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gridSpan w:val="2"/>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gridSpan w:val="2"/>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r>
      <w:tr>
        <w:tblPrEx>
          <w:tblW w:w="5000" w:type="pct"/>
          <w:jc w:val="center"/>
          <w:tblCellMar>
            <w:left w:w="108" w:type="dxa"/>
            <w:right w:w="108" w:type="dxa"/>
          </w:tblCellMar>
        </w:tblPrEx>
        <w:trPr>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氨苄西林/舒巴坦</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r>
      <w:tr>
        <w:tblPrEx>
          <w:tblW w:w="5000" w:type="pct"/>
          <w:jc w:val="center"/>
          <w:tblCellMar>
            <w:left w:w="108" w:type="dxa"/>
            <w:right w:w="108" w:type="dxa"/>
          </w:tblCellMar>
        </w:tblPrEx>
        <w:trPr>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头孢呋辛</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r>
      <w:tr>
        <w:tblPrEx>
          <w:tblW w:w="5000" w:type="pct"/>
          <w:jc w:val="center"/>
          <w:tblCellMar>
            <w:left w:w="108" w:type="dxa"/>
            <w:right w:w="108" w:type="dxa"/>
          </w:tblCellMar>
        </w:tblPrEx>
        <w:trPr>
          <w:gridAfter w:val="2"/>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头孢曲松</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r>
      <w:tr>
        <w:tblPrEx>
          <w:tblW w:w="5000" w:type="pct"/>
          <w:jc w:val="center"/>
          <w:tblCellMar>
            <w:left w:w="108" w:type="dxa"/>
            <w:right w:w="108" w:type="dxa"/>
          </w:tblCellMar>
        </w:tblPrEx>
        <w:trPr>
          <w:gridAfter w:val="2"/>
          <w:trHeight w:val="400"/>
          <w:jc w:val="center"/>
        </w:trPr>
        <w:tc>
          <w:tcPr>
            <w:tcW w:w="10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氯霉素</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gridSpan w:val="2"/>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gridSpan w:val="2"/>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r>
    </w:tbl>
    <w:p w:rsidR="000B0FFD">
      <w:pPr>
        <w:jc w:val="right"/>
        <w:rPr>
          <w:rFonts w:ascii="宋体" w:eastAsia="宋体" w:hAnsi="宋体" w:cs="宋体" w:hint="eastAsia"/>
          <w:sz w:val="20"/>
        </w:rPr>
      </w:pPr>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