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上海市第五人民医院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30098"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682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618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18.06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8.97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7.34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4.33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0.54</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0.48</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表3.682株呼吸道标本分离菌主要菌种分布（%）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斯氏普罗威登斯菌(Providencia stuartii)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表4.618株尿道标本分离菌主要菌种分布（%）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表5.72株血液标本分离菌主要菌种分布（%）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表6.6株脑脊液标本分离菌主要菌种分布（%）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表7.178株伤口脓液标本分离菌主要菌种分布（%）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棉子糖肠球菌(Enterococcus raffinosus)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化脓性链球菌(Streptococcus pyogenes)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表8.7株胸水标本分离菌主要菌种分布（%）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表9.16株腹水标本分离菌主要菌种分布（%）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MRSA(n=56)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MSSA(n=66)</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74.2</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MRCNS(n=25)</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MSCNS(n=9)</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屎肠球菌(n=131)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粪肠球菌(n=83)</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48.2</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55.7</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61.4</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大肠埃希菌(n=5159)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肺炎克雷伯菌(n=300)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奇异变形杆菌(n=38)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阴沟肠杆菌(n=49)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44.9</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黏质沙雷菌(n=19)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弗劳地柠檬酸杆菌(n=8)</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铜绿假单胞菌(n=149)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鲍曼不动杆菌(n=129)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54.3</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45.7</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嗜麦芽窄食单胞菌(n=72)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jc w:val="left"/>
        <w:rPr>
          <w:rFonts w:ascii="宋体" w:eastAsia="宋体" w:hAnsi="宋体" w:cs="宋体" w:hint="eastAsia"/>
        </w:rPr>
      </w:pPr>
      <w:bookmarkStart w:id="20" w:name="data_table_19"/>
      <w:r>
        <w:rPr>
          <w:rFonts w:ascii="宋体" w:eastAsia="宋体" w:hAnsi="宋体" w:cs="宋体" w:hint="eastAsia"/>
        </w:rPr>
        <w:t>表19.流感嗜血杆菌对抗菌药物的耐药率和敏感率（%）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400"/>
        <w:gridCol w:w="400"/>
        <w:gridCol w:w="400"/>
        <w:gridCol w:w="200"/>
        <w:gridCol w:w="400"/>
        <w:gridCol w:w="400"/>
        <w:gridCol w:w="400"/>
        <w:gridCol w:w="200"/>
        <w:gridCol w:w="400"/>
        <w:gridCol w:w="400"/>
        <w:gridCol w:w="400"/>
        <w:gridCol w:w="2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trHeight w:val="400"/>
          <w:jc w:val="center"/>
        </w:trPr>
        <w:tc>
          <w:tcPr>
            <w:tcW w:w="1000" w:type="dxa"/>
            <w:vMerge w:val="restart"/>
            <w:tcBorders>
              <w:top w:val="single" w:sz="8" w:space="0" w:color="808080"/>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抗菌药物</w:t>
            </w: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合计(n=10)</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成人(n=9)</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儿童(n=1)</w:t>
            </w:r>
          </w:p>
        </w:tc>
      </w:tr>
      <w:tr>
        <w:tblPrEx>
          <w:tblW w:w="5000" w:type="pct"/>
          <w:jc w:val="center"/>
          <w:tblCellMar>
            <w:left w:w="108" w:type="dxa"/>
            <w:right w:w="108" w:type="dxa"/>
          </w:tblCellMar>
        </w:tblPrEx>
        <w:trPr>
          <w:gridAfter w:val="1"/>
          <w:trHeight w:val="400"/>
          <w:jc w:val="center"/>
        </w:trPr>
        <w:tc>
          <w:tcPr>
            <w:tcW w:w="1000" w:type="dxa"/>
            <w:vMerge/>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氨苄西林/舒巴坦</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11.1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88.9</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头孢呋辛</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70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22.2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66.7</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头孢曲松</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11.1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88.9</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trHeight w:val="400"/>
          <w:jc w:val="center"/>
        </w:trPr>
        <w:tc>
          <w:tcPr>
            <w:tcW w:w="10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氯霉素</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r>
    </w:tbl>
    <w:p w:rsidR="000B0FFD">
      <w:pPr>
        <w:jc w:val="right"/>
        <w:rPr>
          <w:rFonts w:ascii="宋体" w:eastAsia="宋体" w:hAnsi="宋体" w:cs="宋体" w:hint="eastAsia"/>
          <w:sz w:val="20"/>
        </w:rPr>
      </w:pPr>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