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上海市浦东医院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001832"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1383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41.2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1145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34.1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474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14.1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216</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6.4</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241"/>
        <w:gridCol w:w="1439"/>
        <w:gridCol w:w="260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735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21.91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630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18.78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9.75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5.22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5.10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137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2.59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1.64</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0.98</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0.95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0.80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0.72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0.63</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0.63</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表3.1383株呼吸道标本分离菌主要菌种分布（%）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阿氏肠杆菌(Enterobacter asburiae)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液化沙雷菌(Serratia liquefaciens)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表4.1145株尿道标本分离菌主要菌种分布（%）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解没食子酸链球菌(Streptococcus gallolyticus ss. gallolyticus)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琼氏不动杆菌(Acinetobacter junii)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睾丸酮丛毛单胞菌(Comamonas testosteroni)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表5.474株血液标本分离菌主要菌种分布（%）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豚鼠气单胞菌(Aeromonas caviae)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液化沙雷菌(Serratia liquefaciens)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猪链球菌(Streptococcus suis)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表6.6株脑脊液标本分离菌主要菌种分布（%）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表7.49株伤口脓液标本分离菌主要菌种分布（%）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表8.8株胸水标本分离菌主要菌种分布（%）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中间链球菌(Streptococcus intermedius)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表9.24株腹水标本分离菌主要菌种分布（%）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铅黄肠球菌(Enterococcus casseliflavus)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MRSA(n=123)</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MSSA(n=204)</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95.1</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82.9</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204</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MRCNS(n=59)</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MSCNS(n=25)</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67.8</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98.3</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15.5</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53.8</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屎肠球菌(n=175)</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粪肠球菌(n=171)</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55.9</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大肠埃希菌(n=10261)</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肺炎克雷伯菌(n=630)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磷霉素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43.3</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奇异变形杆菌(n=137)</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阴沟肠杆菌(n=87)</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78.2</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31.4</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74.4</w:t>
            </w: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黏质沙雷菌(n=33)</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弗劳地柠檬酸杆菌(n=8)</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37.5</w:t>
            </w: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铜绿假单胞菌(n=227)</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鲍曼不动杆菌(n=160)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74.4</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26.9</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71.9</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嗜麦芽窄食单胞菌(n=93)</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jc w:val="left"/>
        <w:rPr>
          <w:rFonts w:ascii="宋体" w:eastAsia="宋体" w:hAnsi="宋体" w:cs="宋体" w:hint="eastAsia"/>
        </w:rPr>
      </w:pPr>
      <w:bookmarkStart w:id="20" w:name="data_table_19"/>
      <w:r>
        <w:rPr>
          <w:rFonts w:ascii="宋体" w:eastAsia="宋体" w:hAnsi="宋体" w:cs="宋体" w:hint="eastAsia"/>
        </w:rPr>
        <w:t>表19.流感嗜血杆菌对抗菌药物的耐药率和敏感率（%）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000"/>
        <w:gridCol w:w="400"/>
        <w:gridCol w:w="400"/>
        <w:gridCol w:w="400"/>
        <w:gridCol w:w="200"/>
        <w:gridCol w:w="200"/>
        <w:gridCol w:w="200"/>
        <w:gridCol w:w="200"/>
        <w:gridCol w:w="200"/>
        <w:gridCol w:w="200"/>
        <w:gridCol w:w="200"/>
        <w:gridCol w:w="2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000" w:type="dxa"/>
            <w:vMerge w:val="restart"/>
            <w:tcBorders>
              <w:top w:val="single" w:sz="8" w:space="0" w:color="808080"/>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抗菌药物</w:t>
            </w: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合计(n=64)</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6"/>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成人(n=62)</w:t>
            </w:r>
          </w:p>
        </w:tc>
        <w:tc>
          <w:tcPr>
            <w:tcW w:w="200" w:type="dxa"/>
            <w:vMerge w:val="restart"/>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p>
        </w:tc>
        <w:tc>
          <w:tcPr>
            <w:tcW w:w="1200" w:type="dxa"/>
            <w:gridSpan w:val="3"/>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儿童(n=2)</w:t>
            </w:r>
          </w:p>
        </w:tc>
      </w:tr>
      <w:tr>
        <w:tblPrEx>
          <w:tblW w:w="5000" w:type="pct"/>
          <w:jc w:val="center"/>
          <w:tblCellMar>
            <w:left w:w="108" w:type="dxa"/>
            <w:right w:w="108" w:type="dxa"/>
          </w:tblCellMar>
        </w:tblPrEx>
        <w:trPr>
          <w:trHeight w:val="400"/>
          <w:jc w:val="center"/>
        </w:trPr>
        <w:tc>
          <w:tcPr>
            <w:tcW w:w="1000" w:type="dxa"/>
            <w:vMerge/>
            <w:tcBorders>
              <w:top w:val="single" w:sz="8" w:space="0" w:color="808080"/>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c>
          <w:tcPr>
            <w:tcW w:w="200" w:type="dxa"/>
            <w:vMerge/>
            <w:tcBorders>
              <w:top w:val="nil"/>
              <w:left w:val="nil"/>
              <w:bottom w:val="single" w:sz="8" w:space="0" w:color="808080"/>
              <w:right w:val="nil"/>
            </w:tcBorders>
            <w:vAlign w:val="center"/>
          </w:tcPr>
          <w:p w:rsidR="000B0FFD">
            <w:pPr>
              <w:jc w:val="center"/>
              <w:rPr>
                <w:rFonts w:ascii="宋体" w:eastAsia="宋体" w:hAnsi="宋体" w:cs="宋体" w:hint="eastAsia"/>
                <w:sz w:val="18"/>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数量</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耐药率</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18"/>
              </w:rPr>
            </w:pPr>
            <w:r>
              <w:rPr>
                <w:rFonts w:ascii="宋体" w:eastAsia="宋体" w:hAnsi="宋体" w:cs="宋体" w:hint="eastAsia"/>
                <w:sz w:val="18"/>
              </w:rPr>
              <w:t>敏感率</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氨苄西林</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64</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6.3</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3.1</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62</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6.5</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3.2</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阿莫西林/克拉维酸</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12.5</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87.5</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12.5</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87.5</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r>
        <w:tblPrEx>
          <w:tblW w:w="5000" w:type="pct"/>
          <w:jc w:val="center"/>
          <w:tblCellMar>
            <w:left w:w="108" w:type="dxa"/>
            <w:right w:w="108" w:type="dxa"/>
          </w:tblCellMar>
        </w:tblPrEx>
        <w:trPr>
          <w:gridAfter w:val="1"/>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头孢呋辛</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64</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46.9</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46.9</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62</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46.8</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46.8</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50</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头孢曲松</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58</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10.3</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89.7</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56</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10.7</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89.3</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trHeight w:val="400"/>
          <w:jc w:val="center"/>
        </w:trPr>
        <w:tc>
          <w:tcPr>
            <w:tcW w:w="1000" w:type="dxa"/>
            <w:tcBorders>
              <w:top w:val="nil"/>
              <w:left w:val="nil"/>
              <w:bottom w:val="nil"/>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氯霉素</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53</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11.3</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84.9</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51</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11.8</w:t>
            </w:r>
          </w:p>
        </w:tc>
        <w:tc>
          <w:tcPr>
            <w:tcW w:w="400" w:type="dxa"/>
            <w:gridSpan w:val="2"/>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84.3</w:t>
            </w:r>
          </w:p>
        </w:tc>
        <w:tc>
          <w:tcPr>
            <w:tcW w:w="200" w:type="dxa"/>
            <w:tcBorders>
              <w:top w:val="nil"/>
              <w:left w:val="nil"/>
              <w:bottom w:val="nil"/>
              <w:right w:val="nil"/>
            </w:tcBorders>
            <w:vAlign w:val="center"/>
          </w:tcPr>
          <w:p w:rsidR="000B0FFD">
            <w:pPr>
              <w:jc w:val="left"/>
              <w:rPr>
                <w:rFonts w:ascii="宋体" w:eastAsia="宋体" w:hAnsi="宋体" w:cs="宋体" w:hint="eastAsia"/>
                <w:sz w:val="20"/>
              </w:rPr>
            </w:pP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2</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nil"/>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100</w:t>
            </w:r>
          </w:p>
        </w:tc>
      </w:tr>
      <w:tr>
        <w:tblPrEx>
          <w:tblW w:w="5000" w:type="pct"/>
          <w:jc w:val="center"/>
          <w:tblCellMar>
            <w:left w:w="108" w:type="dxa"/>
            <w:right w:w="108" w:type="dxa"/>
          </w:tblCellMar>
        </w:tblPrEx>
        <w:trPr>
          <w:trHeight w:val="400"/>
          <w:jc w:val="center"/>
        </w:trPr>
        <w:tc>
          <w:tcPr>
            <w:tcW w:w="10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r>
              <w:rPr>
                <w:rFonts w:ascii="宋体" w:eastAsia="宋体" w:hAnsi="宋体" w:cs="宋体" w:hint="eastAsia"/>
                <w:sz w:val="20"/>
              </w:rPr>
              <w:t>甲氧苄啶/磺胺甲噁唑</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64</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7.8</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62</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0.0</w:t>
            </w:r>
          </w:p>
        </w:tc>
        <w:tc>
          <w:tcPr>
            <w:tcW w:w="400" w:type="dxa"/>
            <w:gridSpan w:val="2"/>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8.1</w:t>
            </w:r>
          </w:p>
        </w:tc>
        <w:tc>
          <w:tcPr>
            <w:tcW w:w="200" w:type="dxa"/>
            <w:tcBorders>
              <w:top w:val="nil"/>
              <w:left w:val="nil"/>
              <w:bottom w:val="single" w:sz="8" w:space="0" w:color="808080"/>
              <w:right w:val="nil"/>
            </w:tcBorders>
            <w:vAlign w:val="center"/>
          </w:tcPr>
          <w:p w:rsidR="000B0FFD">
            <w:pPr>
              <w:jc w:val="left"/>
              <w:rPr>
                <w:rFonts w:ascii="宋体" w:eastAsia="宋体" w:hAnsi="宋体" w:cs="宋体" w:hint="eastAsia"/>
                <w:sz w:val="20"/>
              </w:rPr>
            </w:pP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c>
          <w:tcPr>
            <w:tcW w:w="400" w:type="dxa"/>
            <w:tcBorders>
              <w:top w:val="nil"/>
              <w:left w:val="nil"/>
              <w:bottom w:val="single" w:sz="8" w:space="0" w:color="808080"/>
              <w:right w:val="nil"/>
            </w:tcBorders>
            <w:vAlign w:val="center"/>
          </w:tcPr>
          <w:p w:rsidR="000B0FFD">
            <w:pPr>
              <w:jc w:val="center"/>
              <w:rPr>
                <w:rFonts w:ascii="宋体" w:eastAsia="宋体" w:hAnsi="宋体" w:cs="宋体" w:hint="eastAsia"/>
                <w:sz w:val="20"/>
              </w:rPr>
            </w:pPr>
            <w:r>
              <w:rPr>
                <w:rFonts w:ascii="宋体" w:eastAsia="宋体" w:hAnsi="宋体" w:cs="宋体" w:hint="eastAsia"/>
                <w:sz w:val="20"/>
              </w:rPr>
              <w:t>0</w:t>
            </w:r>
          </w:p>
        </w:tc>
      </w:tr>
    </w:tbl>
    <w:p w:rsidR="000B0FFD">
      <w:pPr>
        <w:jc w:val="right"/>
        <w:rPr>
          <w:rFonts w:ascii="宋体" w:eastAsia="宋体" w:hAnsi="宋体" w:cs="宋体" w:hint="eastAsia"/>
          <w:sz w:val="20"/>
        </w:rPr>
      </w:pPr>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